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after="0" w:before="0" w:line="240" w:lineRule="auto"/>
        <w:ind w:firstLine="709" w:left="0"/>
        <w:jc w:val="both"/>
        <w:rPr>
          <w:rFonts w:ascii="Times New Roman" w:hAnsi="Times New Roman"/>
          <w:b w:val="1"/>
          <w:color w:val="000000"/>
          <w:sz w:val="28"/>
          <w:u w:val="none"/>
        </w:rPr>
      </w:pPr>
      <w:r>
        <w:rPr>
          <w:rFonts w:ascii="Times New Roman" w:hAnsi="Times New Roman"/>
          <w:b w:val="1"/>
          <w:sz w:val="28"/>
        </w:rPr>
        <w:t>Прокуратура Балтачевского района РБ</w:t>
      </w:r>
      <w:r>
        <w:rPr>
          <w:rFonts w:ascii="Times New Roman" w:hAnsi="Times New Roman"/>
          <w:b w:val="1"/>
          <w:color w:val="000000"/>
          <w:sz w:val="28"/>
          <w:u w:val="none"/>
        </w:rPr>
        <w:t xml:space="preserve"> </w:t>
      </w:r>
      <w:r>
        <w:rPr>
          <w:rFonts w:ascii="Times New Roman" w:hAnsi="Times New Roman"/>
          <w:b w:val="1"/>
          <w:color w:val="000000"/>
          <w:sz w:val="28"/>
          <w:u w:val="none"/>
        </w:rPr>
        <w:t>разъясняет</w:t>
      </w:r>
      <w:r>
        <w:rPr>
          <w:rFonts w:ascii="Times New Roman" w:hAnsi="Times New Roman"/>
          <w:b w:val="1"/>
          <w:color w:val="000000"/>
          <w:sz w:val="28"/>
          <w:u w:val="none"/>
        </w:rPr>
        <w:t>:</w:t>
      </w:r>
    </w:p>
    <w:p w14:paraId="02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1"/>
          <w:sz w:val="28"/>
        </w:rPr>
        <w:t>Ответственность членов саморегулируемой организации: позиция Минстроя России</w:t>
      </w:r>
    </w:p>
    <w:p w14:paraId="03000000">
      <w:pPr>
        <w:widowControl w:val="1"/>
        <w:spacing w:after="0" w:before="0" w:line="240" w:lineRule="auto"/>
        <w:ind w:firstLine="709" w:left="0" w:right="0"/>
        <w:jc w:val="both"/>
        <w:rPr>
          <w:rFonts w:ascii="Times New Roman" w:hAnsi="Times New Roman"/>
          <w:b w:val="0"/>
          <w:sz w:val="28"/>
        </w:rPr>
      </w:pPr>
    </w:p>
    <w:p w14:paraId="04000000">
      <w:pPr>
        <w:widowControl w:val="1"/>
        <w:spacing w:after="0" w:before="0" w:line="240" w:lineRule="auto"/>
        <w:ind w:firstLine="709"/>
        <w:jc w:val="both"/>
        <w:rPr>
          <w:rFonts w:ascii="Times New Roman" w:hAnsi="Times New Roman"/>
          <w:sz w:val="28"/>
        </w:rPr>
      </w:pPr>
      <w:r>
        <w:rPr>
          <w:rFonts w:ascii="Times New Roman" w:hAnsi="Times New Roman"/>
          <w:sz w:val="28"/>
        </w:rPr>
        <w:t>Сообщается, в частности, что к лицам, осуществляющим функции технического заказчика, предусмотренные пунктом 22 статьи 1 Градостроительного кодекса РФ (далее - ГрК РФ), не определены особые требования членства в саморегулируемых организациях (далее - СРО). В этой связи к таким лицам предъявляются общие требования в том числе в части формирования компенсационных фондов СРО, предусмотренные частями 12</w:t>
      </w:r>
      <w:r>
        <w:rPr>
          <w:rFonts w:ascii="Times New Roman" w:hAnsi="Times New Roman"/>
          <w:spacing w:val="0"/>
          <w:sz w:val="28"/>
        </w:rPr>
        <w:t> </w:t>
      </w:r>
      <w:r>
        <w:rPr>
          <w:rFonts w:ascii="Times New Roman" w:hAnsi="Times New Roman"/>
          <w:sz w:val="28"/>
        </w:rPr>
        <w:t>и 13 статьи 55.16 ГрК РФ.</w:t>
      </w:r>
    </w:p>
    <w:p w14:paraId="05000000">
      <w:pPr>
        <w:widowControl w:val="1"/>
        <w:spacing w:after="0" w:before="0" w:line="240" w:lineRule="auto"/>
        <w:ind w:firstLine="709"/>
        <w:jc w:val="both"/>
        <w:rPr>
          <w:rFonts w:ascii="Times New Roman" w:hAnsi="Times New Roman"/>
          <w:sz w:val="28"/>
        </w:rPr>
      </w:pPr>
      <w:r>
        <w:rPr>
          <w:rFonts w:ascii="Times New Roman" w:hAnsi="Times New Roman"/>
          <w:sz w:val="28"/>
        </w:rPr>
        <w:t>Определение ГрК РФ одних и тех же размеров взносов в компенсационные фонды по уровням ответственности для лица, выполняющего работы по строительству, реконструкции, капитальному ремонту, сносу объекта капитального строительства, и для лица, осуществляющего в том числе строительный контроль по договору на этом же объекте капитального строительства, обусловлено обеспечением солидарной ответственности таких лиц за совместно причиненный вред, ущерб. Уровень ответственности члена СРО, имеющего намерение осуществлять строительный контроль по договору, устанавливается исходя из размера обязательств по договору о строительстве, реконструкции, капитальном ремонте объекта капитального строительства, по которому планируется осуществление такого строительного контроля.</w:t>
      </w:r>
    </w:p>
    <w:p w14:paraId="06000000">
      <w:pPr>
        <w:widowControl w:val="1"/>
        <w:spacing w:after="0" w:before="0" w:line="240" w:lineRule="auto"/>
        <w:ind w:firstLine="709"/>
        <w:jc w:val="both"/>
        <w:rPr>
          <w:rFonts w:ascii="Times New Roman" w:hAnsi="Times New Roman"/>
          <w:sz w:val="28"/>
        </w:rPr>
      </w:pPr>
      <w:r>
        <w:rPr>
          <w:rFonts w:ascii="Times New Roman" w:hAnsi="Times New Roman"/>
          <w:sz w:val="28"/>
        </w:rPr>
        <w:t>В этой связи член СРО, осуществляющий функции технического заказчика, в том числе строительный контроль по договору, уведомляет СРО об обязательствах по договору, заключенному с застройщиком, размер которых определяется из стоимости работ по строительству, реконструкции, капитальному ремонту объекта капитального строительства, за выполнением которых будет осуществляться строительный контроль.</w:t>
      </w:r>
    </w:p>
    <w:p w14:paraId="07000000">
      <w:pPr>
        <w:widowControl w:val="1"/>
        <w:spacing w:after="0" w:before="0" w:line="240" w:lineRule="auto"/>
        <w:ind w:firstLine="709"/>
        <w:jc w:val="both"/>
        <w:rPr>
          <w:rFonts w:ascii="Times New Roman" w:hAnsi="Times New Roman"/>
          <w:sz w:val="28"/>
        </w:rPr>
      </w:pPr>
    </w:p>
    <w:p w14:paraId="08000000">
      <w:pPr>
        <w:widowControl w:val="1"/>
        <w:spacing w:after="0" w:before="0" w:line="240" w:lineRule="auto"/>
        <w:ind w:firstLine="709"/>
        <w:jc w:val="both"/>
        <w:rPr>
          <w:rFonts w:ascii="Times New Roman" w:hAnsi="Times New Roman"/>
          <w:sz w:val="28"/>
        </w:rPr>
      </w:pPr>
    </w:p>
    <w:p w14:paraId="09000000">
      <w:pPr>
        <w:widowControl w:val="1"/>
        <w:spacing w:after="0" w:before="0" w:line="240" w:lineRule="auto"/>
        <w:ind w:firstLine="709"/>
        <w:jc w:val="both"/>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0"/>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0"/>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0"/>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Normal (Web)"/>
    <w:basedOn w:val="Style_1"/>
    <w:link w:val="Style_5_ch"/>
    <w:pPr>
      <w:widowControl w:val="0"/>
      <w:spacing w:afterAutospacing="on" w:beforeAutospacing="on" w:line="240" w:lineRule="auto"/>
      <w:ind/>
    </w:pPr>
    <w:rPr>
      <w:rFonts w:ascii="Times New Roman" w:hAnsi="Times New Roman"/>
      <w:sz w:val="24"/>
    </w:rPr>
  </w:style>
  <w:style w:styleId="Style_5_ch" w:type="character">
    <w:name w:val="Normal (Web)"/>
    <w:basedOn w:val="Style_1_ch"/>
    <w:link w:val="Style_5"/>
    <w:rPr>
      <w:rFonts w:ascii="Times New Roman" w:hAnsi="Times New Roman"/>
      <w:sz w:val="24"/>
    </w:rPr>
  </w:style>
  <w:style w:styleId="Style_6" w:type="paragraph">
    <w:name w:val="toc 7"/>
    <w:next w:val="Style_1"/>
    <w:link w:val="Style_6_ch"/>
    <w:uiPriority w:val="39"/>
    <w:pPr>
      <w:widowControl w:val="0"/>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0"/>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widowControl w:val="0"/>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1"/>
    <w:link w:val="Style_9_ch"/>
    <w:uiPriority w:val="39"/>
    <w:pPr>
      <w:widowControl w:val="0"/>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Default Paragraph Font"/>
    <w:link w:val="Style_10_ch"/>
  </w:style>
  <w:style w:styleId="Style_10_ch" w:type="character">
    <w:name w:val="Default Paragraph Font"/>
    <w:link w:val="Style_10"/>
  </w:style>
  <w:style w:styleId="Style_11" w:type="paragraph">
    <w:name w:val="heading 5"/>
    <w:next w:val="Style_1"/>
    <w:link w:val="Style_11_ch"/>
    <w:uiPriority w:val="9"/>
    <w:qFormat/>
    <w:pPr>
      <w:widowControl w:val="0"/>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1"/>
    <w:link w:val="Style_12_ch"/>
    <w:uiPriority w:val="9"/>
    <w:qFormat/>
    <w:pPr>
      <w:widowControl w:val="0"/>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widowControl w:val="0"/>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1"/>
    <w:link w:val="Style_15_ch"/>
    <w:uiPriority w:val="39"/>
    <w:pPr>
      <w:widowControl w:val="0"/>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widowControl w:val="0"/>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1"/>
    <w:link w:val="Style_17_ch"/>
    <w:uiPriority w:val="39"/>
    <w:pPr>
      <w:widowControl w:val="0"/>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feeds-page__navigation_icon"/>
    <w:basedOn w:val="Style_10"/>
    <w:link w:val="Style_18_ch"/>
  </w:style>
  <w:style w:styleId="Style_18_ch" w:type="character">
    <w:name w:val="feeds-page__navigation_icon"/>
    <w:basedOn w:val="Style_10_ch"/>
    <w:link w:val="Style_18"/>
  </w:style>
  <w:style w:styleId="Style_19" w:type="paragraph">
    <w:name w:val="toc 8"/>
    <w:next w:val="Style_1"/>
    <w:link w:val="Style_19_ch"/>
    <w:uiPriority w:val="39"/>
    <w:pPr>
      <w:widowControl w:val="0"/>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feeds-page__navigation_tooltip"/>
    <w:basedOn w:val="Style_10"/>
    <w:link w:val="Style_20_ch"/>
  </w:style>
  <w:style w:styleId="Style_20_ch" w:type="character">
    <w:name w:val="feeds-page__navigation_tooltip"/>
    <w:basedOn w:val="Style_10_ch"/>
    <w:link w:val="Style_20"/>
  </w:style>
  <w:style w:styleId="Style_21" w:type="paragraph">
    <w:name w:val="toc 5"/>
    <w:next w:val="Style_1"/>
    <w:link w:val="Style_21_ch"/>
    <w:uiPriority w:val="39"/>
    <w:pPr>
      <w:widowControl w:val="0"/>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1"/>
    <w:link w:val="Style_22_ch"/>
    <w:uiPriority w:val="11"/>
    <w:qFormat/>
    <w:pPr>
      <w:widowControl w:val="0"/>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1"/>
    <w:link w:val="Style_23_ch"/>
    <w:uiPriority w:val="10"/>
    <w:qFormat/>
    <w:pPr>
      <w:widowControl w:val="0"/>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1"/>
    <w:link w:val="Style_24_ch"/>
    <w:uiPriority w:val="9"/>
    <w:qFormat/>
    <w:pPr>
      <w:widowControl w:val="0"/>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1"/>
    <w:link w:val="Style_25_ch"/>
    <w:uiPriority w:val="9"/>
    <w:qFormat/>
    <w:pPr>
      <w:widowControl w:val="0"/>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2026-08-27T13:42:10Z</dcterms:created>
  <dcterms:modified xsi:type="dcterms:W3CDTF">2026-08-27T13:42:10Z</dcterms:modified>
</cp:coreProperties>
</file>